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vertAlign w:val="baseline"/>
          <w:rtl w:val="0"/>
        </w:rPr>
        <w:t xml:space="preserve">Classification Mapping Principles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These guiding principles are intended to ensure an implementation of the classification framework design that is consistent with its intent: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Market calibration should be based on job content and should consider the context of how a position relates to others in the organization or in the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Seek the best available match realizing that market job descriptions are broader and more generic than position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Calibration of mapping and slotting across units is 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Compensation strategy (vs. classification) is the effective method for differentiating employee contribution and/or organizational values around different roles.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The use of “legacy system” working titles should be minimized; the working title should be used to reflect the organizational structures and roles within the 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Updated and complete job content information will ensure higher quality and easier classification decisions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Providing employee involvement in the preparation of job description information will increase the likelihood of acceptance of the classification decision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Collaboration between central HR subject matter experts and knowledgeable unit representatives will enhance the effectiveness and efficiency of mapping and classification system implementation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Communication with employees concerning mapping decisions should follow the completion of classification calibration and an “information quality check-point”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vertAlign w:val="baseline"/>
        <w:rtl w:val="0"/>
      </w:rPr>
      <w:t xml:space="preserve">Classification Mapping Principles</w:t>
      <w:tab/>
      <w:t xml:space="preserve">                                                  11/22/04</w:t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footer" Target="footer1.xml"/></Relationships>
</file>